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100" w:beforeAutospacing="1" w:after="100" w:afterAutospacing="1" w:line="440" w:lineRule="exact"/>
        <w:jc w:val="center"/>
        <w:rPr>
          <w:rFonts w:ascii="黑体" w:hAnsi="黑体" w:eastAsia="黑体" w:cs="黑体"/>
          <w:b/>
          <w:bCs/>
          <w:kern w:val="0"/>
          <w:sz w:val="28"/>
          <w:szCs w:val="28"/>
        </w:rPr>
      </w:pPr>
      <w:r>
        <w:rPr>
          <w:rFonts w:hint="eastAsia" w:ascii="黑体" w:hAnsi="黑体" w:eastAsia="黑体" w:cs="黑体"/>
          <w:b/>
          <w:bCs/>
          <w:kern w:val="0"/>
          <w:sz w:val="28"/>
          <w:szCs w:val="28"/>
        </w:rPr>
        <w:t>中共广西医科大学委员会关于进一步加强</w:t>
      </w:r>
    </w:p>
    <w:p>
      <w:pPr>
        <w:widowControl/>
        <w:spacing w:before="100" w:beforeAutospacing="1" w:after="100" w:afterAutospacing="1" w:line="440" w:lineRule="exact"/>
        <w:jc w:val="center"/>
        <w:rPr>
          <w:rFonts w:ascii="宋体" w:hAnsi="宋体" w:eastAsia="宋体" w:cs="宋体"/>
          <w:b/>
          <w:bCs/>
          <w:kern w:val="0"/>
          <w:sz w:val="28"/>
          <w:szCs w:val="28"/>
        </w:rPr>
      </w:pPr>
      <w:r>
        <w:rPr>
          <w:rFonts w:hint="eastAsia" w:ascii="黑体" w:hAnsi="黑体" w:eastAsia="黑体" w:cs="黑体"/>
          <w:b/>
          <w:bCs/>
          <w:kern w:val="0"/>
          <w:sz w:val="28"/>
          <w:szCs w:val="28"/>
        </w:rPr>
        <w:t>基层党组织标准化建设的通知</w:t>
      </w:r>
    </w:p>
    <w:p>
      <w:pPr>
        <w:widowControl/>
        <w:spacing w:before="100" w:beforeAutospacing="1" w:after="100" w:afterAutospacing="1" w:line="440" w:lineRule="exact"/>
        <w:jc w:val="left"/>
        <w:rPr>
          <w:rFonts w:ascii="仿宋" w:hAnsi="仿宋" w:eastAsia="仿宋" w:cs="仿宋"/>
          <w:kern w:val="0"/>
          <w:sz w:val="28"/>
          <w:szCs w:val="28"/>
        </w:rPr>
      </w:pPr>
      <w:r>
        <w:rPr>
          <w:rFonts w:hint="eastAsia" w:ascii="仿宋" w:hAnsi="仿宋" w:eastAsia="仿宋" w:cs="仿宋"/>
          <w:kern w:val="0"/>
          <w:sz w:val="28"/>
          <w:szCs w:val="28"/>
        </w:rPr>
        <w:t>各二级党委、党总支：</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根据《中共广西壮族自治区委员会组织部关于印发广西9个领域基层党组织建设标准的通知》《自治区党委教育工委关于印发&lt;全区高校中小学校幼儿园基层党组织标准化建设三年行动计划&gt;的通知》《自治区党委教育工委办公室关于进一步集中整顿软弱涣散基层党组织工作的通知》等文件精神，按照学校党委《关于印发基层党组织软弱涣散等问题专项整治方案的通知》的有关要求，结合学校实际，现将加强学校基层党组织标准化建设工作要求通知如下。</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一、建设目标</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加强学校基层党组织标准化建设，要以习近平新时代中国特色社会主义思想为指导，贯彻落实新时代党的建设总要求和新时代党的组织路线，以组织体系建设为重点，按照定量与定性相结合的方式，贯彻落实上级党组织关于基层党组织可遵照执行、上级党组织可监督评价的规范化指标体系，使每个基层党组织行有标尺、干有方向、评有依据、赶有目标的要求，切实增强“四个意识”、坚定“四个自信”、做到“两个维护”，真正成为宣传党的主张、贯彻党的决定、团结师生群众、推动学校改革发展的坚强战斗堡垒，确保学校各级党组织和党员思想意志统一、行动步调一致、更加坚强有力，为加快推进我校国内地方一流医科大学建设事业提供坚强组织保证。</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sz w:val="28"/>
          <w:szCs w:val="28"/>
        </w:rPr>
        <w:t>二、建设内容及要求</w:t>
      </w:r>
    </w:p>
    <w:p>
      <w:pPr>
        <w:widowControl/>
        <w:spacing w:before="100" w:beforeAutospacing="1" w:after="100" w:afterAutospacing="1" w:line="440" w:lineRule="exact"/>
        <w:ind w:firstLine="562" w:firstLineChars="200"/>
        <w:jc w:val="left"/>
        <w:rPr>
          <w:rFonts w:ascii="仿宋" w:hAnsi="仿宋" w:eastAsia="仿宋" w:cs="仿宋"/>
          <w:kern w:val="0"/>
          <w:sz w:val="28"/>
          <w:szCs w:val="28"/>
        </w:rPr>
      </w:pPr>
      <w:r>
        <w:rPr>
          <w:rFonts w:hint="eastAsia" w:ascii="仿宋" w:hAnsi="仿宋" w:eastAsia="仿宋" w:cs="仿宋"/>
          <w:b/>
          <w:bCs/>
          <w:kern w:val="0"/>
          <w:sz w:val="28"/>
          <w:szCs w:val="28"/>
        </w:rPr>
        <w:t>（一）建设内容</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对照自治区党委组织部印发的《广西高校基层党组织建设标准（试行）》《广西中小学校基层党组织建设标准（试行）》《广西社会组织基层党组织建设标准（试行）》《广西国有企业基层党组织建设标准（试行）》，结合学校基层党组织建设的特点和要求，着力推进组织体系、组织班子、党员教育管理、组织生活、工作载体、运行机制、活动场所、工作保障等八个方面的标准化建设。</w:t>
      </w:r>
    </w:p>
    <w:p>
      <w:pPr>
        <w:widowControl/>
        <w:spacing w:before="100" w:beforeAutospacing="1" w:after="100" w:afterAutospacing="1" w:line="440" w:lineRule="exact"/>
        <w:ind w:firstLine="562" w:firstLineChars="200"/>
        <w:jc w:val="left"/>
        <w:rPr>
          <w:rFonts w:ascii="仿宋" w:hAnsi="仿宋" w:eastAsia="仿宋" w:cs="仿宋"/>
          <w:kern w:val="0"/>
          <w:sz w:val="28"/>
          <w:szCs w:val="28"/>
        </w:rPr>
      </w:pPr>
      <w:r>
        <w:rPr>
          <w:rFonts w:hint="eastAsia" w:ascii="仿宋" w:hAnsi="仿宋" w:eastAsia="仿宋" w:cs="仿宋"/>
          <w:b/>
          <w:bCs/>
          <w:kern w:val="0"/>
          <w:sz w:val="28"/>
          <w:szCs w:val="28"/>
        </w:rPr>
        <w:t>（二）建设要求</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按照“一年对标强基础、两年深化促规范、三年全面上台阶”的要求，校本部各二级党委、党总支对照《广西高校基层党组织建设标准（试行）》、附属小学党支部在机关党委具体指导下对照《广西中小学校基层党组织建设标准（试行）》《广西社会组织基层党组织建设标准（试行）》、制药厂党支部在直属单位党委具体指导下还要对照《广西国有企业基层党组织建设标准（试行）》、直属附属医院党委对照《广西公立医院基层党组织建设标准（试行）》等细化具体工作规范和考核验收时限，按年度落实重点任务，明确推进措施，激励基层党组织对照标准查找差距、补齐短板、创先争优。通过3年左右的努力，使软弱涣散基层党组织全部转化，所有基层党组织均达到标准化规范化要求，让“党政军民学，东西南北中，党是领导一切的”在教育领域得到全面贯彻落实，把学校建设成为坚持党的领导的坚强阵地。</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sz w:val="28"/>
          <w:szCs w:val="28"/>
        </w:rPr>
        <w:t>三、建设步骤</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学校将从对标自查、考核验收、达标管理、深化提升等四个方面抓好基层党组织标准化建设工作。</w:t>
      </w:r>
    </w:p>
    <w:p>
      <w:pPr>
        <w:widowControl/>
        <w:spacing w:before="100" w:beforeAutospacing="1" w:after="100" w:afterAutospacing="1" w:line="440" w:lineRule="exact"/>
        <w:ind w:firstLine="562" w:firstLineChars="200"/>
        <w:jc w:val="left"/>
        <w:rPr>
          <w:rFonts w:ascii="仿宋" w:hAnsi="仿宋" w:eastAsia="仿宋" w:cs="仿宋"/>
          <w:kern w:val="0"/>
          <w:sz w:val="28"/>
          <w:szCs w:val="28"/>
        </w:rPr>
      </w:pPr>
      <w:r>
        <w:rPr>
          <w:rFonts w:hint="eastAsia" w:ascii="仿宋" w:hAnsi="仿宋" w:eastAsia="仿宋" w:cs="仿宋"/>
          <w:b/>
          <w:bCs/>
          <w:kern w:val="0"/>
          <w:sz w:val="28"/>
          <w:szCs w:val="28"/>
        </w:rPr>
        <w:t>（一）对标自查（2019年12月底前）</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各基层党组织要重点对照《中共广西壮族自治区委员会组织部关于印发广西9个领域基层党组织建设标准的通知》（桂组通字〔2019〕83号）中的高校、中小学校、国有企业、公立医院及社会组织基层党组织建设标准（详见附件1）进行自查。校本部各二级党委、党总支对照《广西高校基层党组织建设标准（试行）》、附属小学党支部在机关党委具体指导下还要对照《广西中小学校基层党组织建设标准（试行）》《广西社会组织基层党组织建设标准（试行）》、制药厂党支部在直属单位党委具体指导下还要对照《广西国有企业基层党组织建设标准（试行）》、直属附属医院党委对照《广西公立医院基层党组织建设标准（试行）》等进行自查，按照“不忘初心、牢记使命”主题教育有关部署要求，在扎实开展基层党组织软弱涣散、基层党建虚化边缘化、党员教育宽松软、基层党建主体责任缺失等突出问题专项整治基础上，认真开展“回头看”，摸清底数、查漏补缺，严格自评是否达标。二级党委、党总支班子成员要包干负责并走遍所有包干支部，逐一进行排查，确保覆盖所有党支部。符合建设标准规范的，以有效形式固定下来；不符合建设标准规范的，及时分析研究和改进完善。自评达标的基层党组织可申请上级党组织考核验收。</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对没有达到建设标准的基层党组织，各二级党委、党总支要将其列为软弱涣散党支部进行整改，根据查找出来的问题清单，建立工作台账，提出整改措施，明确责任人和整改时限。对存在的问题要及时整改，短期内无法整改的要列入下一阶段的工作计划，持续改、盯住改，整改情况要在年度党建考评报告中进行说明。</w:t>
      </w:r>
    </w:p>
    <w:p>
      <w:pPr>
        <w:widowControl/>
        <w:spacing w:before="100" w:beforeAutospacing="1" w:after="100" w:afterAutospacing="1" w:line="440" w:lineRule="exact"/>
        <w:ind w:firstLine="562" w:firstLineChars="200"/>
        <w:jc w:val="left"/>
        <w:rPr>
          <w:rFonts w:ascii="仿宋" w:hAnsi="仿宋" w:eastAsia="仿宋" w:cs="仿宋"/>
          <w:kern w:val="0"/>
          <w:sz w:val="28"/>
          <w:szCs w:val="28"/>
        </w:rPr>
      </w:pPr>
      <w:r>
        <w:rPr>
          <w:rFonts w:hint="eastAsia" w:ascii="仿宋" w:hAnsi="仿宋" w:eastAsia="仿宋" w:cs="仿宋"/>
          <w:b/>
          <w:bCs/>
          <w:kern w:val="0"/>
          <w:sz w:val="28"/>
          <w:szCs w:val="28"/>
        </w:rPr>
        <w:t>（二）考核验收（2020年3月底前）</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按照党组织隶属关系，坚持分级负责，由上一级党组织对申报达标的基层党组织进行考核验收，校党委组织部组织考核验收工作小组按一定比例进行抽查。经考核验收，合格的纳入达标基层党组织管理，考核不合格的与未申请考核验收的基层党组织一道，纳入未达标基层党组织管理。按照党组织隶属关系，分级分类建立台账。</w:t>
      </w:r>
    </w:p>
    <w:p>
      <w:pPr>
        <w:widowControl/>
        <w:spacing w:before="100" w:beforeAutospacing="1" w:after="100" w:afterAutospacing="1" w:line="440" w:lineRule="exact"/>
        <w:ind w:firstLine="562" w:firstLineChars="200"/>
        <w:jc w:val="left"/>
        <w:rPr>
          <w:rFonts w:ascii="仿宋" w:hAnsi="仿宋" w:eastAsia="仿宋" w:cs="仿宋"/>
          <w:kern w:val="0"/>
          <w:sz w:val="28"/>
          <w:szCs w:val="28"/>
        </w:rPr>
      </w:pPr>
      <w:r>
        <w:rPr>
          <w:rFonts w:hint="eastAsia" w:ascii="仿宋" w:hAnsi="仿宋" w:eastAsia="仿宋" w:cs="仿宋"/>
          <w:b/>
          <w:bCs/>
          <w:kern w:val="0"/>
          <w:sz w:val="28"/>
          <w:szCs w:val="28"/>
        </w:rPr>
        <w:t>（三）达标管理（2020年4月—2020年12月）</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对达标基层党组织实行星级化管理，开展星级评定，激励基层党组织创优争星，打造“标杆式基层党组织”；对未达标的基层党组织，上级党组织要分析研究原因，加强督促指导，注重整合各方面力量和资源，为基层党组织达标创造有利条件。各基层党组织星级化管理按照《广西医科大学党支部“创优争星”工程实施方案》（桂医大党〔2018〕60号）推进实施。</w:t>
      </w:r>
    </w:p>
    <w:p>
      <w:pPr>
        <w:widowControl/>
        <w:spacing w:before="100" w:beforeAutospacing="1" w:after="100" w:afterAutospacing="1" w:line="440" w:lineRule="exact"/>
        <w:ind w:firstLine="562" w:firstLineChars="200"/>
        <w:jc w:val="left"/>
        <w:rPr>
          <w:rFonts w:ascii="仿宋" w:hAnsi="仿宋" w:eastAsia="仿宋" w:cs="仿宋"/>
          <w:kern w:val="0"/>
          <w:sz w:val="28"/>
          <w:szCs w:val="28"/>
        </w:rPr>
      </w:pPr>
      <w:r>
        <w:rPr>
          <w:rFonts w:hint="eastAsia" w:ascii="仿宋" w:hAnsi="仿宋" w:eastAsia="仿宋" w:cs="仿宋"/>
          <w:b/>
          <w:bCs/>
          <w:kern w:val="0"/>
          <w:sz w:val="28"/>
          <w:szCs w:val="28"/>
        </w:rPr>
        <w:t>（四）深化提升（2021年1月-2021年12月）</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在全面创建、开展星级化管理的基础上，持续抓好巩固提升工作，确保所有基层党组织全部达标。对达标基层党组织实行动态管理，引导基层党组织不断对标提升上台阶。上级党组织采取随机抽查、定期检查等方式，经常性督促指导，积极探索把握基层党组织标准化规范化建设规律。</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sz w:val="28"/>
          <w:szCs w:val="28"/>
        </w:rPr>
        <w:t>三、工作要求</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基层党组织标准化规范化建设，是提升基层党组织建设质量的有效途径，是增强基层党组织组织力的有力抓手。各级党组织要弘扬严实作风，坚持落细落实，认真谋划推进，确保取得实效。</w:t>
      </w:r>
    </w:p>
    <w:p>
      <w:pPr>
        <w:widowControl/>
        <w:spacing w:before="100" w:beforeAutospacing="1" w:after="100" w:afterAutospacing="1" w:line="440" w:lineRule="exact"/>
        <w:ind w:firstLine="562" w:firstLineChars="200"/>
        <w:jc w:val="left"/>
        <w:rPr>
          <w:rFonts w:ascii="仿宋" w:hAnsi="仿宋" w:eastAsia="仿宋" w:cs="仿宋"/>
          <w:kern w:val="0"/>
          <w:sz w:val="28"/>
          <w:szCs w:val="28"/>
        </w:rPr>
      </w:pPr>
      <w:r>
        <w:rPr>
          <w:rFonts w:hint="eastAsia" w:ascii="仿宋" w:hAnsi="仿宋" w:eastAsia="仿宋" w:cs="仿宋"/>
          <w:b/>
          <w:bCs/>
          <w:kern w:val="0"/>
          <w:sz w:val="28"/>
          <w:szCs w:val="28"/>
        </w:rPr>
        <w:t>（一）加强组织领导</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各二级党委、党总支要提高思想认识，落实主体责任，加强对基层党组织标准化建设工作的组织领导，每年至少研究1次基层党组织标准化规范化建设工作，协调解决突出问题，不断提升工作水平。各二级党委、党总支书记作为第一责任人，应亲自部署、亲自过问、亲自协调、亲自督办，确保标准化建设工作取得明显成效。</w:t>
      </w:r>
    </w:p>
    <w:p>
      <w:pPr>
        <w:widowControl/>
        <w:spacing w:before="100" w:beforeAutospacing="1" w:after="100" w:afterAutospacing="1" w:line="440" w:lineRule="exact"/>
        <w:ind w:firstLine="562" w:firstLineChars="200"/>
        <w:jc w:val="left"/>
        <w:rPr>
          <w:rFonts w:ascii="仿宋" w:hAnsi="仿宋" w:eastAsia="仿宋" w:cs="仿宋"/>
          <w:kern w:val="0"/>
          <w:sz w:val="28"/>
          <w:szCs w:val="28"/>
        </w:rPr>
      </w:pPr>
      <w:r>
        <w:rPr>
          <w:rFonts w:hint="eastAsia" w:ascii="仿宋" w:hAnsi="仿宋" w:eastAsia="仿宋" w:cs="仿宋"/>
          <w:b/>
          <w:bCs/>
          <w:kern w:val="0"/>
          <w:sz w:val="28"/>
          <w:szCs w:val="28"/>
        </w:rPr>
        <w:t>（二）强化督促指导</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各二级党委、党总支要以问题和目标为导向，紧密联系本单位实际，围绕规范内容，瞄准重点任务，解决突出问题，力戒形式主义，不搞层层加码，要定期了解情况、掌握进度，扎实推进标准化建设工作。要严肃工作纪律，杜绝弄虚作假。</w:t>
      </w:r>
    </w:p>
    <w:p>
      <w:pPr>
        <w:widowControl/>
        <w:spacing w:before="100" w:beforeAutospacing="1" w:after="100" w:afterAutospacing="1" w:line="440" w:lineRule="exact"/>
        <w:ind w:firstLine="562" w:firstLineChars="200"/>
        <w:jc w:val="left"/>
        <w:rPr>
          <w:rFonts w:ascii="仿宋" w:hAnsi="仿宋" w:eastAsia="仿宋" w:cs="仿宋"/>
          <w:kern w:val="0"/>
          <w:sz w:val="28"/>
          <w:szCs w:val="28"/>
        </w:rPr>
      </w:pPr>
      <w:r>
        <w:rPr>
          <w:rFonts w:hint="eastAsia" w:ascii="仿宋" w:hAnsi="仿宋" w:eastAsia="仿宋" w:cs="仿宋"/>
          <w:b/>
          <w:bCs/>
          <w:kern w:val="0"/>
          <w:sz w:val="28"/>
          <w:szCs w:val="28"/>
        </w:rPr>
        <w:t>（三）强化典型带动</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各二级党委、党总支要注重发现、培育、宣传一批基层党组织标准化规范化建设的先进典型和成功案例，充分发挥其示范带动作用。要尊重基层首创精神，积极主动将先进典型和成功案例材料上报并做好宣传推广工作。</w:t>
      </w:r>
    </w:p>
    <w:p>
      <w:pPr>
        <w:widowControl/>
        <w:spacing w:before="100" w:beforeAutospacing="1" w:after="100" w:afterAutospacing="1" w:line="440" w:lineRule="exact"/>
        <w:ind w:firstLine="562" w:firstLineChars="200"/>
        <w:jc w:val="left"/>
        <w:rPr>
          <w:rFonts w:ascii="仿宋" w:hAnsi="仿宋" w:eastAsia="仿宋" w:cs="仿宋"/>
          <w:kern w:val="0"/>
          <w:sz w:val="28"/>
          <w:szCs w:val="28"/>
        </w:rPr>
      </w:pPr>
      <w:r>
        <w:rPr>
          <w:rFonts w:hint="eastAsia" w:ascii="仿宋" w:hAnsi="仿宋" w:eastAsia="仿宋" w:cs="仿宋"/>
          <w:b/>
          <w:bCs/>
          <w:kern w:val="0"/>
          <w:sz w:val="28"/>
          <w:szCs w:val="28"/>
        </w:rPr>
        <w:t>（四）强化结果运用</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各二级党委、党总支推进基层党组织标准化规范化建设情况纳入年度党委（党总支）书记抓基层党建述职评议考核、领导班子和领导干部考核的内容，各二级党委、党总支将相关工作情况纳入年度党支部书记抓党建工作考核内容。不达标的基层党组织，不得评选为先进基层党组织，基层党组织书记在年度考核中不得评为优秀。强化正面导向，对工作成效明显的基层党组织书记，加强重点培养使用，更好地激励党员干部担当作为。</w:t>
      </w:r>
    </w:p>
    <w:p>
      <w:pPr>
        <w:widowControl/>
        <w:spacing w:before="100" w:beforeAutospacing="1" w:after="100" w:afterAutospacing="1" w:line="440" w:lineRule="exact"/>
        <w:ind w:firstLine="562" w:firstLineChars="200"/>
        <w:jc w:val="left"/>
        <w:rPr>
          <w:rFonts w:ascii="仿宋" w:hAnsi="仿宋" w:eastAsia="仿宋" w:cs="仿宋"/>
          <w:kern w:val="0"/>
          <w:sz w:val="28"/>
          <w:szCs w:val="28"/>
        </w:rPr>
      </w:pPr>
      <w:r>
        <w:rPr>
          <w:rFonts w:hint="eastAsia" w:ascii="仿宋" w:hAnsi="仿宋" w:eastAsia="仿宋" w:cs="仿宋"/>
          <w:b/>
          <w:bCs/>
          <w:kern w:val="0"/>
          <w:sz w:val="28"/>
          <w:szCs w:val="28"/>
        </w:rPr>
        <w:t>（五）及时报送材料</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各二级党委、党总支按要求填报《广西医科大学基层党组织标准化建设问题及整改计划清单一览表》（具体内容另行通知），经党委（党总支）书记审核签字后，将自查问题及整改清单纸质版材料于2020年1月8日前报送至党委组织部组织科（综合楼1010），电子版发送到ykdzzb@163.com。</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未尽事宜，请与党委组织部组织科联系。联系人：张宪文、王铭，联系电话：5310525。</w:t>
      </w:r>
    </w:p>
    <w:p>
      <w:pPr>
        <w:widowControl/>
        <w:spacing w:before="100" w:beforeAutospacing="1" w:after="100" w:afterAutospacing="1" w:line="440" w:lineRule="exact"/>
        <w:ind w:firstLine="560" w:firstLineChars="200"/>
        <w:jc w:val="left"/>
        <w:rPr>
          <w:rFonts w:ascii="仿宋" w:hAnsi="仿宋" w:eastAsia="仿宋" w:cs="仿宋"/>
          <w:kern w:val="0"/>
          <w:sz w:val="28"/>
          <w:szCs w:val="28"/>
        </w:rPr>
      </w:pPr>
      <w:r>
        <w:rPr>
          <w:rFonts w:hint="eastAsia" w:ascii="仿宋" w:hAnsi="仿宋" w:eastAsia="仿宋" w:cs="仿宋"/>
          <w:kern w:val="0"/>
          <w:sz w:val="28"/>
          <w:szCs w:val="28"/>
        </w:rPr>
        <w:t> </w:t>
      </w:r>
    </w:p>
    <w:p>
      <w:pPr>
        <w:widowControl/>
        <w:spacing w:before="100" w:beforeAutospacing="1" w:after="100" w:afterAutospacing="1" w:line="440" w:lineRule="exact"/>
        <w:ind w:left="1548" w:leftChars="304" w:hanging="910" w:hangingChars="325"/>
        <w:jc w:val="left"/>
        <w:rPr>
          <w:rFonts w:ascii="宋体" w:hAnsi="宋体" w:eastAsia="宋体" w:cs="宋体"/>
          <w:kern w:val="0"/>
          <w:sz w:val="24"/>
        </w:rPr>
      </w:pPr>
      <w:r>
        <w:rPr>
          <w:rFonts w:hint="eastAsia" w:ascii="仿宋" w:hAnsi="仿宋" w:eastAsia="仿宋" w:cs="仿宋"/>
          <w:kern w:val="0"/>
          <w:sz w:val="28"/>
          <w:szCs w:val="28"/>
        </w:rPr>
        <w:t>附件：广西高校、中小学校、国有企业及社会组织基层党组织建设标准</w:t>
      </w:r>
    </w:p>
    <w:p>
      <w:pPr>
        <w:widowControl/>
        <w:spacing w:before="100" w:beforeAutospacing="1" w:after="100" w:afterAutospacing="1" w:line="400" w:lineRule="exact"/>
        <w:ind w:firstLine="3780" w:firstLineChars="1350"/>
        <w:jc w:val="left"/>
        <w:rPr>
          <w:rFonts w:ascii="宋体" w:hAnsi="宋体" w:eastAsia="宋体" w:cs="宋体"/>
          <w:kern w:val="0"/>
          <w:sz w:val="28"/>
          <w:szCs w:val="28"/>
        </w:rPr>
      </w:pPr>
      <w:r>
        <w:rPr>
          <w:rFonts w:ascii="仿宋" w:hAnsi="仿宋" w:eastAsia="仿宋" w:cs="宋体"/>
          <w:kern w:val="0"/>
          <w:sz w:val="28"/>
          <w:szCs w:val="28"/>
        </w:rPr>
        <w:t>中共广西医科大学委员会</w:t>
      </w:r>
    </w:p>
    <w:p>
      <w:pPr>
        <w:widowControl/>
        <w:spacing w:before="100" w:beforeAutospacing="1" w:after="100" w:afterAutospacing="1" w:line="400" w:lineRule="exact"/>
        <w:ind w:firstLine="4480" w:firstLineChars="1600"/>
        <w:jc w:val="left"/>
        <w:rPr>
          <w:rFonts w:ascii="仿宋" w:hAnsi="仿宋" w:eastAsia="仿宋" w:cs="宋体"/>
          <w:kern w:val="0"/>
          <w:sz w:val="28"/>
          <w:szCs w:val="28"/>
        </w:rPr>
      </w:pPr>
      <w:r>
        <w:rPr>
          <w:rFonts w:ascii="仿宋" w:hAnsi="仿宋" w:eastAsia="仿宋" w:cs="宋体"/>
          <w:kern w:val="0"/>
          <w:sz w:val="28"/>
          <w:szCs w:val="28"/>
        </w:rPr>
        <w:t>2019年12月6日</w:t>
      </w:r>
    </w:p>
    <w:p>
      <w:pPr>
        <w:widowControl/>
        <w:spacing w:before="100" w:beforeAutospacing="1" w:after="100" w:afterAutospacing="1" w:line="620" w:lineRule="exact"/>
        <w:jc w:val="center"/>
        <w:rPr>
          <w:rFonts w:ascii="黑体" w:hAnsi="黑体" w:eastAsia="黑体" w:cs="黑体"/>
          <w:kern w:val="0"/>
          <w:sz w:val="28"/>
          <w:szCs w:val="28"/>
        </w:rPr>
      </w:pPr>
      <w:r>
        <w:rPr>
          <w:rFonts w:hint="eastAsia" w:ascii="黑体" w:hAnsi="黑体" w:eastAsia="黑体" w:cs="黑体"/>
          <w:kern w:val="0"/>
          <w:sz w:val="28"/>
          <w:szCs w:val="28"/>
        </w:rPr>
        <w:t>广西高校基层党组织建设标准(试行)</w:t>
      </w:r>
    </w:p>
    <w:p>
      <w:pPr>
        <w:widowControl/>
        <w:jc w:val="left"/>
      </w:pPr>
      <w:r>
        <w:rPr>
          <w:rFonts w:ascii="宋体" w:hAnsi="宋体" w:eastAsia="宋体" w:cs="宋体"/>
          <w:kern w:val="0"/>
          <w:sz w:val="24"/>
        </w:rPr>
        <w:drawing>
          <wp:inline distT="0" distB="0" distL="114300" distR="114300">
            <wp:extent cx="5589270" cy="3140075"/>
            <wp:effectExtent l="0" t="0" r="11430" b="3175"/>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4" cstate="print"/>
                    <a:stretch>
                      <a:fillRect/>
                    </a:stretch>
                  </pic:blipFill>
                  <pic:spPr>
                    <a:xfrm>
                      <a:off x="0" y="0"/>
                      <a:ext cx="5589270" cy="3140075"/>
                    </a:xfrm>
                    <a:prstGeom prst="rect">
                      <a:avLst/>
                    </a:prstGeom>
                    <a:noFill/>
                    <a:ln w="9525">
                      <a:noFill/>
                    </a:ln>
                  </pic:spPr>
                </pic:pic>
              </a:graphicData>
            </a:graphic>
          </wp:inline>
        </w:drawing>
      </w:r>
    </w:p>
    <w:p>
      <w:pPr>
        <w:widowControl/>
        <w:jc w:val="left"/>
      </w:pPr>
      <w:r>
        <w:rPr>
          <w:rFonts w:ascii="宋体" w:hAnsi="宋体" w:eastAsia="宋体" w:cs="宋体"/>
          <w:kern w:val="0"/>
          <w:sz w:val="24"/>
        </w:rPr>
        <w:drawing>
          <wp:inline distT="0" distB="0" distL="114300" distR="114300">
            <wp:extent cx="5606415" cy="3845560"/>
            <wp:effectExtent l="0" t="0" r="13335" b="2540"/>
            <wp:docPr id="1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56"/>
                    <pic:cNvPicPr>
                      <a:picLocks noChangeAspect="1"/>
                    </pic:cNvPicPr>
                  </pic:nvPicPr>
                  <pic:blipFill>
                    <a:blip r:embed="rId5" cstate="print"/>
                    <a:stretch>
                      <a:fillRect/>
                    </a:stretch>
                  </pic:blipFill>
                  <pic:spPr>
                    <a:xfrm>
                      <a:off x="0" y="0"/>
                      <a:ext cx="5606415" cy="3845560"/>
                    </a:xfrm>
                    <a:prstGeom prst="rect">
                      <a:avLst/>
                    </a:prstGeom>
                    <a:noFill/>
                    <a:ln w="9525">
                      <a:noFill/>
                    </a:ln>
                  </pic:spPr>
                </pic:pic>
              </a:graphicData>
            </a:graphic>
          </wp:inline>
        </w:drawing>
      </w:r>
    </w:p>
    <w:p>
      <w:pPr>
        <w:widowControl/>
        <w:jc w:val="left"/>
      </w:pPr>
      <w:r>
        <w:rPr>
          <w:rFonts w:ascii="宋体" w:hAnsi="宋体" w:eastAsia="宋体" w:cs="宋体"/>
          <w:kern w:val="0"/>
          <w:sz w:val="24"/>
        </w:rPr>
        <w:drawing>
          <wp:inline distT="0" distB="0" distL="114300" distR="114300">
            <wp:extent cx="5547360" cy="4129405"/>
            <wp:effectExtent l="0" t="0" r="15240" b="4445"/>
            <wp:docPr id="1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IMG_256"/>
                    <pic:cNvPicPr>
                      <a:picLocks noChangeAspect="1"/>
                    </pic:cNvPicPr>
                  </pic:nvPicPr>
                  <pic:blipFill>
                    <a:blip r:embed="rId6" cstate="print"/>
                    <a:stretch>
                      <a:fillRect/>
                    </a:stretch>
                  </pic:blipFill>
                  <pic:spPr>
                    <a:xfrm>
                      <a:off x="0" y="0"/>
                      <a:ext cx="5547360" cy="4129405"/>
                    </a:xfrm>
                    <a:prstGeom prst="rect">
                      <a:avLst/>
                    </a:prstGeom>
                    <a:noFill/>
                    <a:ln w="9525">
                      <a:noFill/>
                    </a:ln>
                  </pic:spPr>
                </pic:pic>
              </a:graphicData>
            </a:graphic>
          </wp:inline>
        </w:drawing>
      </w:r>
    </w:p>
    <w:p>
      <w:pPr>
        <w:widowControl/>
        <w:jc w:val="left"/>
      </w:pPr>
      <w:r>
        <w:rPr>
          <w:rFonts w:ascii="宋体" w:hAnsi="宋体" w:eastAsia="宋体" w:cs="宋体"/>
          <w:kern w:val="0"/>
          <w:sz w:val="24"/>
        </w:rPr>
        <w:drawing>
          <wp:inline distT="0" distB="0" distL="114300" distR="114300">
            <wp:extent cx="5584825" cy="3932555"/>
            <wp:effectExtent l="0" t="0" r="15875" b="10795"/>
            <wp:docPr id="2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IMG_256"/>
                    <pic:cNvPicPr>
                      <a:picLocks noChangeAspect="1"/>
                    </pic:cNvPicPr>
                  </pic:nvPicPr>
                  <pic:blipFill>
                    <a:blip r:embed="rId7" cstate="print"/>
                    <a:stretch>
                      <a:fillRect/>
                    </a:stretch>
                  </pic:blipFill>
                  <pic:spPr>
                    <a:xfrm>
                      <a:off x="0" y="0"/>
                      <a:ext cx="5584825" cy="3932555"/>
                    </a:xfrm>
                    <a:prstGeom prst="rect">
                      <a:avLst/>
                    </a:prstGeom>
                    <a:noFill/>
                    <a:ln w="9525">
                      <a:noFill/>
                    </a:ln>
                  </pic:spPr>
                </pic:pic>
              </a:graphicData>
            </a:graphic>
          </wp:inline>
        </w:drawing>
      </w:r>
    </w:p>
    <w:p>
      <w:pPr>
        <w:widowControl/>
        <w:jc w:val="left"/>
      </w:pPr>
      <w:r>
        <w:rPr>
          <w:rFonts w:ascii="宋体" w:hAnsi="宋体" w:eastAsia="宋体" w:cs="宋体"/>
          <w:kern w:val="0"/>
          <w:sz w:val="24"/>
        </w:rPr>
        <w:drawing>
          <wp:inline distT="0" distB="0" distL="114300" distR="114300">
            <wp:extent cx="5564505" cy="3178810"/>
            <wp:effectExtent l="0" t="0" r="17145" b="2540"/>
            <wp:docPr id="2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IMG_256"/>
                    <pic:cNvPicPr>
                      <a:picLocks noChangeAspect="1"/>
                    </pic:cNvPicPr>
                  </pic:nvPicPr>
                  <pic:blipFill>
                    <a:blip r:embed="rId8" cstate="print"/>
                    <a:stretch>
                      <a:fillRect/>
                    </a:stretch>
                  </pic:blipFill>
                  <pic:spPr>
                    <a:xfrm>
                      <a:off x="0" y="0"/>
                      <a:ext cx="5564505" cy="3178810"/>
                    </a:xfrm>
                    <a:prstGeom prst="rect">
                      <a:avLst/>
                    </a:prstGeom>
                    <a:noFill/>
                    <a:ln w="9525">
                      <a:noFill/>
                    </a:ln>
                  </pic:spPr>
                </pic:pic>
              </a:graphicData>
            </a:graphic>
          </wp:inline>
        </w:drawing>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FEF39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2020-11-01T01:50:46Z</dcterms:created>
  <dc:creator>123</dc:creator>
  <cp:lastModifiedBy>清泉</cp:lastModifiedBy>
  <dcterms:modified xsi:type="dcterms:W3CDTF">2020-11-01T01:51:04Z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